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C2344E" w:rsidRDefault="00781281" w:rsidP="002775E3">
      <w:pPr>
        <w:jc w:val="center"/>
        <w:rPr>
          <w:rFonts w:ascii="Britannic Bold" w:hAnsi="Britannic Bold" w:cs="Arial"/>
          <w:b/>
          <w:i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344E">
        <w:rPr>
          <w:rFonts w:ascii="Britannic Bold" w:hAnsi="Britannic Bold" w:cs="Arial"/>
          <w:b/>
          <w:i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STROKE CARE</w:t>
      </w:r>
    </w:p>
    <w:p w:rsidR="007432FC" w:rsidRPr="002775E3" w:rsidRDefault="00072674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our </w:t>
      </w:r>
      <w:r w:rsidR="007432FC" w:rsidRPr="002775E3">
        <w:rPr>
          <w:b/>
          <w:sz w:val="28"/>
          <w:szCs w:val="28"/>
        </w:rPr>
        <w:t>2</w:t>
      </w:r>
      <w:r w:rsidR="007432FC" w:rsidRPr="002775E3">
        <w:rPr>
          <w:b/>
          <w:sz w:val="28"/>
          <w:szCs w:val="28"/>
          <w:vertAlign w:val="superscript"/>
        </w:rPr>
        <w:t>ND</w:t>
      </w:r>
      <w:r w:rsidR="007432FC" w:rsidRPr="002775E3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FD2CB7">
        <w:rPr>
          <w:b/>
          <w:sz w:val="28"/>
          <w:szCs w:val="28"/>
        </w:rPr>
        <w:t>April 11, 2</w:t>
      </w:r>
      <w:r w:rsidRPr="002775E3">
        <w:rPr>
          <w:b/>
          <w:sz w:val="28"/>
          <w:szCs w:val="28"/>
        </w:rPr>
        <w:t>01</w:t>
      </w:r>
      <w:r w:rsidR="00FD2CB7">
        <w:rPr>
          <w:b/>
          <w:sz w:val="28"/>
          <w:szCs w:val="28"/>
        </w:rPr>
        <w:t>4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</w:p>
    <w:p w:rsidR="00FF3978" w:rsidRDefault="00FD2CB7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Tyler Center</w:t>
      </w:r>
    </w:p>
    <w:p w:rsidR="00980188" w:rsidRDefault="00FD2CB7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RMC-Anniston Campus</w:t>
      </w:r>
    </w:p>
    <w:p w:rsidR="00980188" w:rsidRPr="00980188" w:rsidRDefault="00FD2CB7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D2CB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Floor Classroom</w:t>
      </w:r>
    </w:p>
    <w:p w:rsidR="00FD2CB7" w:rsidRPr="00FD2CB7" w:rsidRDefault="00FD2CB7" w:rsidP="00FD2CB7">
      <w:pPr>
        <w:pStyle w:val="NoSpacing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</w:rPr>
        <w:t>731 Leighton Ave</w:t>
      </w:r>
      <w:r w:rsidRPr="00FD2CB7">
        <w:rPr>
          <w:b/>
          <w:sz w:val="24"/>
          <w:szCs w:val="24"/>
        </w:rPr>
        <w:t xml:space="preserve">., </w:t>
      </w:r>
      <w:r w:rsidRPr="00FD2CB7">
        <w:rPr>
          <w:b/>
          <w:sz w:val="24"/>
          <w:szCs w:val="24"/>
        </w:rPr>
        <w:t>Anniston, AL 36207</w:t>
      </w:r>
    </w:p>
    <w:p w:rsidR="00FD2CB7" w:rsidRDefault="00FD2CB7" w:rsidP="002775E3">
      <w:pPr>
        <w:jc w:val="center"/>
        <w:rPr>
          <w:b/>
          <w:sz w:val="28"/>
          <w:szCs w:val="28"/>
        </w:rPr>
      </w:pP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>Sponsored by</w:t>
      </w:r>
      <w:r w:rsidR="00980188">
        <w:rPr>
          <w:b/>
          <w:sz w:val="28"/>
          <w:szCs w:val="28"/>
        </w:rPr>
        <w:t>:</w:t>
      </w:r>
      <w:r w:rsidRPr="00072674">
        <w:rPr>
          <w:b/>
          <w:sz w:val="28"/>
          <w:szCs w:val="28"/>
        </w:rPr>
        <w:t xml:space="preserve"> </w:t>
      </w:r>
    </w:p>
    <w:p w:rsidR="00FD2CB7" w:rsidRDefault="00FD2CB7" w:rsidP="002775E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87B189" wp14:editId="32B28CE4">
            <wp:extent cx="1981200" cy="1094392"/>
            <wp:effectExtent l="0" t="0" r="0" b="0"/>
            <wp:docPr id="9" name="Picture 8" descr="RMC_logo_black_Annist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C_logo_black_Anniston[1]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6119" cy="109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74" w:rsidRPr="00042335" w:rsidRDefault="00072674" w:rsidP="00FF3978">
      <w:pPr>
        <w:jc w:val="center"/>
        <w:rPr>
          <w:b/>
        </w:rPr>
      </w:pPr>
    </w:p>
    <w:p w:rsidR="007432FC" w:rsidRPr="006B09B9" w:rsidRDefault="007432FC" w:rsidP="002775E3">
      <w:pPr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7432FC" w:rsidRPr="002775E3" w:rsidRDefault="00F833FD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the</w:t>
      </w:r>
      <w:r w:rsidR="007432FC" w:rsidRPr="002775E3">
        <w:rPr>
          <w:b/>
          <w:sz w:val="24"/>
          <w:szCs w:val="24"/>
        </w:rPr>
        <w:t xml:space="preserve"> anatomy of the neurological system; </w:t>
      </w:r>
    </w:p>
    <w:p w:rsidR="007432FC" w:rsidRPr="002775E3" w:rsidRDefault="00FF3978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</w:t>
      </w:r>
      <w:r w:rsidR="007432FC" w:rsidRPr="002775E3">
        <w:rPr>
          <w:b/>
          <w:sz w:val="24"/>
          <w:szCs w:val="24"/>
        </w:rPr>
        <w:t xml:space="preserve"> </w:t>
      </w:r>
      <w:r w:rsidR="00217913">
        <w:rPr>
          <w:b/>
          <w:sz w:val="24"/>
          <w:szCs w:val="24"/>
        </w:rPr>
        <w:t xml:space="preserve">early </w:t>
      </w:r>
      <w:r w:rsidR="007432FC" w:rsidRPr="002775E3">
        <w:rPr>
          <w:b/>
          <w:sz w:val="24"/>
          <w:szCs w:val="24"/>
        </w:rPr>
        <w:t xml:space="preserve">signs &amp; symptoms of </w:t>
      </w:r>
      <w:r w:rsidR="00217913">
        <w:rPr>
          <w:b/>
          <w:sz w:val="24"/>
          <w:szCs w:val="24"/>
        </w:rPr>
        <w:t>strokes</w:t>
      </w:r>
      <w:r w:rsidR="007432FC" w:rsidRPr="002775E3">
        <w:rPr>
          <w:b/>
          <w:sz w:val="24"/>
          <w:szCs w:val="24"/>
        </w:rPr>
        <w:t>;</w:t>
      </w:r>
    </w:p>
    <w:p w:rsidR="007432FC" w:rsidRPr="002775E3" w:rsidRDefault="00217913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early diagnostics and interventions</w:t>
      </w:r>
      <w:r w:rsidR="007432FC" w:rsidRPr="002775E3">
        <w:rPr>
          <w:b/>
          <w:sz w:val="24"/>
          <w:szCs w:val="24"/>
        </w:rPr>
        <w:t>;</w:t>
      </w:r>
    </w:p>
    <w:p w:rsidR="007432FC" w:rsidRPr="002775E3" w:rsidRDefault="00217913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different treatment modalities</w:t>
      </w:r>
      <w:r w:rsidR="007432FC" w:rsidRPr="002775E3">
        <w:rPr>
          <w:b/>
          <w:sz w:val="24"/>
          <w:szCs w:val="24"/>
        </w:rPr>
        <w:t xml:space="preserve">; </w:t>
      </w:r>
    </w:p>
    <w:p w:rsidR="007432FC" w:rsidRPr="002775E3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Understand the roles the pre-hospital and in-hospital providers pla</w:t>
      </w:r>
      <w:r w:rsidR="00F76B39">
        <w:rPr>
          <w:b/>
          <w:sz w:val="24"/>
          <w:szCs w:val="24"/>
        </w:rPr>
        <w:t>y</w:t>
      </w:r>
      <w:r w:rsidRPr="002775E3">
        <w:rPr>
          <w:b/>
          <w:sz w:val="24"/>
          <w:szCs w:val="24"/>
        </w:rPr>
        <w:t xml:space="preserve"> in early interventions.</w:t>
      </w:r>
    </w:p>
    <w:p w:rsidR="00980188" w:rsidRDefault="00980188" w:rsidP="002775E3">
      <w:pPr>
        <w:spacing w:after="0"/>
        <w:jc w:val="center"/>
        <w:rPr>
          <w:b/>
          <w:color w:val="0D22BF"/>
          <w:sz w:val="28"/>
          <w:szCs w:val="28"/>
        </w:rPr>
      </w:pP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2775E3" w:rsidRPr="002775E3" w:rsidRDefault="002775E3" w:rsidP="002775E3">
      <w:pPr>
        <w:spacing w:after="0"/>
        <w:jc w:val="center"/>
        <w:rPr>
          <w:b/>
          <w:sz w:val="24"/>
          <w:szCs w:val="24"/>
        </w:rPr>
      </w:pP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32962" w:rsidRPr="002775E3">
        <w:rPr>
          <w:b/>
          <w:sz w:val="24"/>
          <w:szCs w:val="24"/>
        </w:rPr>
        <w:t>Introductions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1035-1105</w:t>
      </w:r>
      <w:r w:rsidRPr="002775E3">
        <w:rPr>
          <w:b/>
          <w:sz w:val="24"/>
          <w:szCs w:val="24"/>
        </w:rPr>
        <w:tab/>
      </w:r>
      <w:r w:rsidR="00F76B39">
        <w:rPr>
          <w:b/>
          <w:sz w:val="24"/>
          <w:szCs w:val="24"/>
        </w:rPr>
        <w:t>Anatomy Review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1105-11</w:t>
      </w:r>
      <w:r w:rsidR="00CE5B4A"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</w:r>
      <w:r w:rsidR="00C2344E">
        <w:rPr>
          <w:b/>
          <w:sz w:val="24"/>
          <w:szCs w:val="24"/>
        </w:rPr>
        <w:t>Signs &amp; Symptoms</w:t>
      </w:r>
      <w:r w:rsidR="006B09B9">
        <w:rPr>
          <w:b/>
          <w:sz w:val="24"/>
          <w:szCs w:val="24"/>
        </w:rPr>
        <w:t xml:space="preserve">        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</w:t>
      </w:r>
      <w:r w:rsidR="00CE5B4A"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5-12</w:t>
      </w:r>
      <w:r w:rsidR="00CE5B4A"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  <w:t>Lunch will be served</w:t>
      </w:r>
    </w:p>
    <w:p w:rsid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12</w:t>
      </w:r>
      <w:r w:rsidR="00CE5B4A"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5-1</w:t>
      </w:r>
      <w:r w:rsidR="00CE5B4A"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ab/>
      </w:r>
      <w:r w:rsidR="00C2344E">
        <w:rPr>
          <w:b/>
          <w:sz w:val="24"/>
          <w:szCs w:val="24"/>
        </w:rPr>
        <w:t>Diagnostics &amp; Interventions</w:t>
      </w:r>
    </w:p>
    <w:p w:rsidR="002775E3" w:rsidRPr="002775E3" w:rsidRDefault="002775E3" w:rsidP="00C2344E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 w:rsidR="00CE5B4A"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>-1</w:t>
      </w:r>
      <w:r w:rsidR="00CE5B4A"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ab/>
      </w:r>
      <w:r w:rsidR="00C2344E">
        <w:rPr>
          <w:b/>
          <w:sz w:val="24"/>
          <w:szCs w:val="24"/>
        </w:rPr>
        <w:t>Treatment Modalities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 w:rsidR="00CE5B4A"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>-1425</w:t>
      </w:r>
      <w:r w:rsidRPr="002775E3">
        <w:rPr>
          <w:b/>
          <w:sz w:val="24"/>
          <w:szCs w:val="24"/>
        </w:rPr>
        <w:tab/>
      </w:r>
      <w:r w:rsidR="00C2344E">
        <w:rPr>
          <w:b/>
          <w:sz w:val="24"/>
          <w:szCs w:val="24"/>
        </w:rPr>
        <w:t>Early Interventions</w:t>
      </w:r>
    </w:p>
    <w:p w:rsid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1425-1430</w:t>
      </w:r>
      <w:r w:rsidRPr="002775E3">
        <w:rPr>
          <w:b/>
          <w:sz w:val="24"/>
          <w:szCs w:val="24"/>
        </w:rPr>
        <w:tab/>
        <w:t>Evaluations</w:t>
      </w:r>
    </w:p>
    <w:p w:rsidR="000B0E40" w:rsidRDefault="000B0E40" w:rsidP="002775E3">
      <w:pPr>
        <w:spacing w:after="0"/>
        <w:rPr>
          <w:b/>
          <w:sz w:val="24"/>
          <w:szCs w:val="24"/>
        </w:rPr>
      </w:pPr>
    </w:p>
    <w:p w:rsidR="000B0E40" w:rsidRPr="002775E3" w:rsidRDefault="00B67EEB" w:rsidP="002775E3">
      <w:pPr>
        <w:spacing w:after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4E1C00" wp14:editId="7894F80D">
            <wp:simplePos x="0" y="0"/>
            <wp:positionH relativeFrom="column">
              <wp:posOffset>933450</wp:posOffset>
            </wp:positionH>
            <wp:positionV relativeFrom="paragraph">
              <wp:posOffset>106045</wp:posOffset>
            </wp:positionV>
            <wp:extent cx="847725" cy="809625"/>
            <wp:effectExtent l="0" t="0" r="9525" b="9525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9B9" w:rsidRDefault="006B09B9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CE5B4A" w:rsidRDefault="00CE5B4A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C2344E" w:rsidRDefault="00C2344E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0B0E40" w:rsidRDefault="000B0E40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0B0E40">
      <w:pPr>
        <w:spacing w:after="0" w:line="240" w:lineRule="auto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6B09B9" w:rsidRDefault="006B09B9" w:rsidP="006B09B9">
      <w:pPr>
        <w:spacing w:after="0" w:line="240" w:lineRule="auto"/>
      </w:pPr>
    </w:p>
    <w:p w:rsidR="00781281" w:rsidRDefault="00FD2CB7" w:rsidP="006B09B9">
      <w:pPr>
        <w:spacing w:after="0" w:line="240" w:lineRule="auto"/>
        <w:rPr>
          <w:sz w:val="24"/>
          <w:szCs w:val="24"/>
        </w:rPr>
      </w:pPr>
      <w:r w:rsidRPr="00B67EEB">
        <w:rPr>
          <w:b/>
          <w:sz w:val="24"/>
          <w:szCs w:val="24"/>
        </w:rPr>
        <w:t xml:space="preserve">Michael J. </w:t>
      </w:r>
      <w:proofErr w:type="spellStart"/>
      <w:r w:rsidRPr="00B67EEB">
        <w:rPr>
          <w:b/>
          <w:sz w:val="24"/>
          <w:szCs w:val="24"/>
        </w:rPr>
        <w:t>Lyerly</w:t>
      </w:r>
      <w:proofErr w:type="spellEnd"/>
      <w:r w:rsidRPr="00B67EEB">
        <w:rPr>
          <w:b/>
          <w:sz w:val="24"/>
          <w:szCs w:val="24"/>
        </w:rPr>
        <w:t>, M.D</w:t>
      </w:r>
      <w:r>
        <w:rPr>
          <w:sz w:val="24"/>
          <w:szCs w:val="24"/>
        </w:rPr>
        <w:t>.</w:t>
      </w:r>
    </w:p>
    <w:p w:rsidR="00FD2CB7" w:rsidRDefault="00FD2CB7" w:rsidP="006B09B9">
      <w:pPr>
        <w:spacing w:after="0" w:line="240" w:lineRule="auto"/>
        <w:rPr>
          <w:sz w:val="24"/>
          <w:szCs w:val="24"/>
        </w:rPr>
      </w:pPr>
    </w:p>
    <w:p w:rsidR="00FD2CB7" w:rsidRDefault="00FD2CB7" w:rsidP="006B09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Lyerly</w:t>
      </w:r>
      <w:proofErr w:type="spellEnd"/>
      <w:r>
        <w:rPr>
          <w:sz w:val="24"/>
          <w:szCs w:val="24"/>
        </w:rPr>
        <w:t xml:space="preserve"> is an Assistant Professor</w:t>
      </w:r>
      <w:r w:rsidR="00B67EEB">
        <w:rPr>
          <w:sz w:val="24"/>
          <w:szCs w:val="24"/>
        </w:rPr>
        <w:t xml:space="preserve"> at UAB within the Department of Neurology in the Cerebrovascular Disease Division. Dr. </w:t>
      </w:r>
      <w:proofErr w:type="spellStart"/>
      <w:r w:rsidR="00B67EEB">
        <w:rPr>
          <w:sz w:val="24"/>
          <w:szCs w:val="24"/>
        </w:rPr>
        <w:t>Lyerly’s</w:t>
      </w:r>
      <w:proofErr w:type="spellEnd"/>
      <w:r w:rsidR="00B67EEB">
        <w:rPr>
          <w:sz w:val="24"/>
          <w:szCs w:val="24"/>
        </w:rPr>
        <w:t xml:space="preserve"> major research interests are examining barriers to acute stroke care, examining racial disparities in acute stroke care, and examining utilization of IV thrombolysis for acute stroke.</w:t>
      </w:r>
    </w:p>
    <w:p w:rsidR="00B67EEB" w:rsidRPr="00072674" w:rsidRDefault="00B67EEB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bookmarkStart w:id="0" w:name="_GoBack"/>
      <w:r w:rsidR="006B09B9" w:rsidRPr="005977F7">
        <w:rPr>
          <w:u w:val="single"/>
        </w:rPr>
        <w:t>There is no charge for attendance but pre-registration is strongly encouraged.</w:t>
      </w:r>
      <w:bookmarkEnd w:id="0"/>
      <w:r w:rsidR="006B09B9">
        <w:t xml:space="preserve">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>ursing contact hours to nurses.  East Alabama EMS is an approved provider of continuing education for nurses by the Alabama Board of Nursing.  Provider Number _</w:t>
      </w:r>
      <w:r w:rsidR="00132962">
        <w:t>ABNP 1456</w:t>
      </w:r>
      <w:r w:rsidR="006B09B9" w:rsidRPr="00EF0DDA">
        <w:t>_</w:t>
      </w:r>
      <w:proofErr w:type="gramStart"/>
      <w:r w:rsidR="006B09B9" w:rsidRPr="00EF0DDA">
        <w:t>_  expires</w:t>
      </w:r>
      <w:proofErr w:type="gramEnd"/>
      <w:r w:rsidR="006B09B9" w:rsidRPr="00EF0DDA">
        <w:t>:  _</w:t>
      </w:r>
      <w:r w:rsidR="00132962">
        <w:t>08.25.2015</w:t>
      </w:r>
      <w:r w:rsidR="006B09B9" w:rsidRPr="00EF0DDA">
        <w:t xml:space="preserve">_.  </w:t>
      </w:r>
      <w:r w:rsidR="006B09B9">
        <w:t xml:space="preserve"> </w:t>
      </w:r>
      <w:r w:rsidR="006B09B9" w:rsidRPr="00EF0DDA">
        <w:t xml:space="preserve">Nurses must bring their current Alabama Board of Nursing license to the program to be swiped in order to receive contact hours.  </w:t>
      </w:r>
    </w:p>
    <w:p w:rsidR="006B09B9" w:rsidRDefault="006B09B9" w:rsidP="006B09B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REGISTER OR </w:t>
      </w:r>
      <w:r w:rsidRPr="00DE5FD5">
        <w:rPr>
          <w:b/>
          <w:sz w:val="28"/>
          <w:szCs w:val="28"/>
        </w:rPr>
        <w:t>FOR MORE INFORMATION:</w:t>
      </w:r>
    </w:p>
    <w:p w:rsidR="007432FC" w:rsidRDefault="006B09B9" w:rsidP="00B67EEB">
      <w:pPr>
        <w:jc w:val="center"/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proofErr w:type="gramStart"/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</w:t>
      </w:r>
      <w:proofErr w:type="gramEnd"/>
      <w:r>
        <w:rPr>
          <w:b/>
          <w:sz w:val="28"/>
          <w:szCs w:val="28"/>
        </w:rPr>
        <w:t xml:space="preserve">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618C8"/>
    <w:rsid w:val="00072674"/>
    <w:rsid w:val="000B0E40"/>
    <w:rsid w:val="00132962"/>
    <w:rsid w:val="001C167F"/>
    <w:rsid w:val="00217913"/>
    <w:rsid w:val="00274900"/>
    <w:rsid w:val="002775E3"/>
    <w:rsid w:val="0052267A"/>
    <w:rsid w:val="005977F7"/>
    <w:rsid w:val="006A0FCC"/>
    <w:rsid w:val="006A2191"/>
    <w:rsid w:val="006B09B9"/>
    <w:rsid w:val="007004BC"/>
    <w:rsid w:val="007432FC"/>
    <w:rsid w:val="00781281"/>
    <w:rsid w:val="007C7E22"/>
    <w:rsid w:val="007E43D4"/>
    <w:rsid w:val="00834487"/>
    <w:rsid w:val="008E3EB3"/>
    <w:rsid w:val="00980188"/>
    <w:rsid w:val="009F329F"/>
    <w:rsid w:val="00B008E0"/>
    <w:rsid w:val="00B070A2"/>
    <w:rsid w:val="00B67EEB"/>
    <w:rsid w:val="00C2344E"/>
    <w:rsid w:val="00C56745"/>
    <w:rsid w:val="00CE5B4A"/>
    <w:rsid w:val="00EA3C30"/>
    <w:rsid w:val="00F143D9"/>
    <w:rsid w:val="00F76B39"/>
    <w:rsid w:val="00F833FD"/>
    <w:rsid w:val="00FD2CB7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1281"/>
    <w:rPr>
      <w:b/>
      <w:bCs/>
    </w:rPr>
  </w:style>
  <w:style w:type="paragraph" w:styleId="NoSpacing">
    <w:name w:val="No Spacing"/>
    <w:uiPriority w:val="1"/>
    <w:qFormat/>
    <w:rsid w:val="00FD2C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81281"/>
    <w:rPr>
      <w:b/>
      <w:bCs/>
    </w:rPr>
  </w:style>
  <w:style w:type="paragraph" w:styleId="NoSpacing">
    <w:name w:val="No Spacing"/>
    <w:uiPriority w:val="1"/>
    <w:qFormat/>
    <w:rsid w:val="00FD2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2</cp:revision>
  <cp:lastPrinted>2012-05-21T16:48:00Z</cp:lastPrinted>
  <dcterms:created xsi:type="dcterms:W3CDTF">2014-03-19T15:14:00Z</dcterms:created>
  <dcterms:modified xsi:type="dcterms:W3CDTF">2014-03-19T15:14:00Z</dcterms:modified>
</cp:coreProperties>
</file>