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1A" w:rsidRPr="00CE7F1A" w:rsidRDefault="00CE7F1A" w:rsidP="00CE7F1A">
      <w:pPr>
        <w:spacing w:after="0" w:line="240" w:lineRule="auto"/>
        <w:rPr>
          <w:rFonts w:ascii="Calibri" w:eastAsia="Times New Roman" w:hAnsi="Calibri" w:cs="Calibri"/>
          <w:b/>
          <w:color w:val="000000"/>
          <w:sz w:val="28"/>
          <w:szCs w:val="28"/>
          <w:shd w:val="clear" w:color="auto" w:fill="FFFFFF"/>
        </w:rPr>
      </w:pPr>
      <w:bookmarkStart w:id="0" w:name="_GoBack"/>
      <w:r>
        <w:rPr>
          <w:rFonts w:ascii="Calibri" w:eastAsia="Times New Roman" w:hAnsi="Calibri" w:cs="Calibri"/>
          <w:b/>
          <w:color w:val="000000"/>
          <w:sz w:val="28"/>
          <w:szCs w:val="28"/>
          <w:shd w:val="clear" w:color="auto" w:fill="FFFFFF"/>
        </w:rPr>
        <w:t xml:space="preserve">09-15-2020 - </w:t>
      </w:r>
      <w:r w:rsidRPr="00CE7F1A">
        <w:rPr>
          <w:rFonts w:ascii="Calibri" w:eastAsia="Times New Roman" w:hAnsi="Calibri" w:cs="Calibri"/>
          <w:b/>
          <w:color w:val="000000"/>
          <w:sz w:val="28"/>
          <w:szCs w:val="28"/>
          <w:shd w:val="clear" w:color="auto" w:fill="FFFFFF"/>
        </w:rPr>
        <w:t>Protocol Update from Jamie Gray at ADPH</w:t>
      </w:r>
    </w:p>
    <w:bookmarkEnd w:id="0"/>
    <w:p w:rsidR="00CE7F1A" w:rsidRDefault="00CE7F1A" w:rsidP="00CE7F1A">
      <w:pPr>
        <w:spacing w:after="0" w:line="240" w:lineRule="auto"/>
        <w:rPr>
          <w:rFonts w:ascii="Calibri" w:eastAsia="Times New Roman" w:hAnsi="Calibri" w:cs="Calibri"/>
          <w:color w:val="000000"/>
          <w:sz w:val="28"/>
          <w:szCs w:val="28"/>
          <w:shd w:val="clear" w:color="auto" w:fill="FFFFFF"/>
        </w:rPr>
      </w:pPr>
    </w:p>
    <w:p w:rsidR="00CE7F1A" w:rsidRPr="00CE7F1A" w:rsidRDefault="00CE7F1A" w:rsidP="00CE7F1A">
      <w:pPr>
        <w:spacing w:after="0" w:line="240" w:lineRule="auto"/>
        <w:rPr>
          <w:rFonts w:ascii="Arial" w:eastAsia="Times New Roman" w:hAnsi="Arial" w:cs="Arial"/>
          <w:color w:val="000000"/>
          <w:sz w:val="20"/>
          <w:szCs w:val="20"/>
          <w:shd w:val="clear" w:color="auto" w:fill="FFFFFF"/>
        </w:rPr>
      </w:pPr>
      <w:r w:rsidRPr="00CE7F1A">
        <w:rPr>
          <w:rFonts w:ascii="Calibri" w:eastAsia="Times New Roman" w:hAnsi="Calibri" w:cs="Calibri"/>
          <w:color w:val="000000"/>
          <w:sz w:val="28"/>
          <w:szCs w:val="28"/>
          <w:shd w:val="clear" w:color="auto" w:fill="FFFFFF"/>
        </w:rPr>
        <w:t>Good morning</w:t>
      </w:r>
      <w:proofErr w:type="gramStart"/>
      <w:r w:rsidRPr="00CE7F1A">
        <w:rPr>
          <w:rFonts w:ascii="Calibri" w:eastAsia="Times New Roman" w:hAnsi="Calibri" w:cs="Calibri"/>
          <w:color w:val="000000"/>
          <w:sz w:val="28"/>
          <w:szCs w:val="28"/>
          <w:shd w:val="clear" w:color="auto" w:fill="FFFFFF"/>
        </w:rPr>
        <w:t>,</w:t>
      </w:r>
      <w:proofErr w:type="gramEnd"/>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In light of recent protocol updates, it has come to our attention that there may be some confusion with the dose of TXA and Atropine. To clear up any ambiguity, the correct dosages are as follows:</w:t>
      </w:r>
      <w:r w:rsidRPr="00CE7F1A">
        <w:rPr>
          <w:rFonts w:ascii="Segoe UI" w:eastAsia="Times New Roman" w:hAnsi="Segoe UI" w:cs="Segoe UI"/>
          <w:color w:val="000000"/>
          <w:sz w:val="20"/>
          <w:szCs w:val="20"/>
        </w:rPr>
        <w:br/>
      </w:r>
      <w:proofErr w:type="spellStart"/>
      <w:r w:rsidRPr="00CE7F1A">
        <w:rPr>
          <w:rFonts w:ascii="Calibri" w:eastAsia="Times New Roman" w:hAnsi="Calibri" w:cs="Calibri"/>
          <w:b/>
          <w:bCs/>
          <w:color w:val="000000"/>
          <w:sz w:val="28"/>
          <w:szCs w:val="28"/>
          <w:u w:val="single"/>
          <w:shd w:val="clear" w:color="auto" w:fill="FFFFFF"/>
        </w:rPr>
        <w:t>Tranexamic</w:t>
      </w:r>
      <w:proofErr w:type="spellEnd"/>
      <w:r w:rsidRPr="00CE7F1A">
        <w:rPr>
          <w:rFonts w:ascii="Calibri" w:eastAsia="Times New Roman" w:hAnsi="Calibri" w:cs="Calibri"/>
          <w:b/>
          <w:bCs/>
          <w:color w:val="000000"/>
          <w:sz w:val="28"/>
          <w:szCs w:val="28"/>
          <w:u w:val="single"/>
          <w:shd w:val="clear" w:color="auto" w:fill="FFFFFF"/>
        </w:rPr>
        <w:t xml:space="preserve"> Acid (TXA)</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Adult&gt;18 years old:</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 xml:space="preserve">2g over 20 </w:t>
      </w:r>
      <w:proofErr w:type="spellStart"/>
      <w:r w:rsidRPr="00CE7F1A">
        <w:rPr>
          <w:rFonts w:ascii="Calibri" w:eastAsia="Times New Roman" w:hAnsi="Calibri" w:cs="Calibri"/>
          <w:color w:val="000000"/>
          <w:sz w:val="28"/>
          <w:szCs w:val="28"/>
          <w:shd w:val="clear" w:color="auto" w:fill="FFFFFF"/>
        </w:rPr>
        <w:t>mins</w:t>
      </w:r>
      <w:proofErr w:type="spellEnd"/>
      <w:r w:rsidRPr="00CE7F1A">
        <w:rPr>
          <w:rFonts w:ascii="Calibri" w:eastAsia="Times New Roman" w:hAnsi="Calibri" w:cs="Calibri"/>
          <w:color w:val="000000"/>
          <w:sz w:val="28"/>
          <w:szCs w:val="28"/>
          <w:shd w:val="clear" w:color="auto" w:fill="FFFFFF"/>
        </w:rPr>
        <w:t>, MAX 100mg per min.</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Mix 2 g in 100 mL (NS, D5W, or LR) and administer by IV flow regulator or pump infusion (300mL/</w:t>
      </w:r>
      <w:proofErr w:type="spellStart"/>
      <w:r w:rsidRPr="00CE7F1A">
        <w:rPr>
          <w:rFonts w:ascii="Calibri" w:eastAsia="Times New Roman" w:hAnsi="Calibri" w:cs="Calibri"/>
          <w:color w:val="000000"/>
          <w:sz w:val="28"/>
          <w:szCs w:val="28"/>
          <w:shd w:val="clear" w:color="auto" w:fill="FFFFFF"/>
        </w:rPr>
        <w:t>hr</w:t>
      </w:r>
      <w:proofErr w:type="spellEnd"/>
      <w:r w:rsidRPr="00CE7F1A">
        <w:rPr>
          <w:rFonts w:ascii="Calibri" w:eastAsia="Times New Roman" w:hAnsi="Calibri" w:cs="Calibri"/>
          <w:color w:val="000000"/>
          <w:sz w:val="28"/>
          <w:szCs w:val="28"/>
          <w:shd w:val="clear" w:color="auto" w:fill="FFFFFF"/>
        </w:rPr>
        <w:t xml:space="preserve">) over 20 </w:t>
      </w:r>
      <w:proofErr w:type="spellStart"/>
      <w:r w:rsidRPr="00CE7F1A">
        <w:rPr>
          <w:rFonts w:ascii="Calibri" w:eastAsia="Times New Roman" w:hAnsi="Calibri" w:cs="Calibri"/>
          <w:color w:val="000000"/>
          <w:sz w:val="28"/>
          <w:szCs w:val="28"/>
          <w:shd w:val="clear" w:color="auto" w:fill="FFFFFF"/>
        </w:rPr>
        <w:t>mins</w:t>
      </w:r>
      <w:proofErr w:type="spellEnd"/>
      <w:r w:rsidRPr="00CE7F1A">
        <w:rPr>
          <w:rFonts w:ascii="Calibri" w:eastAsia="Times New Roman" w:hAnsi="Calibri" w:cs="Calibri"/>
          <w:color w:val="000000"/>
          <w:sz w:val="28"/>
          <w:szCs w:val="28"/>
          <w:shd w:val="clear" w:color="auto" w:fill="FFFFFF"/>
        </w:rPr>
        <w:t>. (Cat B for non-traumatic events)</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Pediatric: Not Indicated.</w:t>
      </w:r>
      <w:r w:rsidRPr="00CE7F1A">
        <w:rPr>
          <w:rFonts w:ascii="Segoe UI" w:eastAsia="Times New Roman" w:hAnsi="Segoe UI" w:cs="Segoe UI"/>
          <w:color w:val="000000"/>
          <w:sz w:val="20"/>
          <w:szCs w:val="20"/>
        </w:rPr>
        <w:br/>
      </w:r>
      <w:r w:rsidRPr="00CE7F1A">
        <w:rPr>
          <w:rFonts w:ascii="Calibri" w:eastAsia="Times New Roman" w:hAnsi="Calibri" w:cs="Calibri"/>
          <w:b/>
          <w:bCs/>
          <w:color w:val="000000"/>
          <w:sz w:val="28"/>
          <w:szCs w:val="28"/>
          <w:u w:val="single"/>
          <w:shd w:val="clear" w:color="auto" w:fill="FFFFFF"/>
        </w:rPr>
        <w:t>Atropine Sulfate</w:t>
      </w:r>
      <w:r w:rsidRPr="00CE7F1A">
        <w:rPr>
          <w:rFonts w:ascii="Segoe UI" w:eastAsia="Times New Roman" w:hAnsi="Segoe UI" w:cs="Segoe UI"/>
          <w:color w:val="000000"/>
          <w:sz w:val="20"/>
          <w:szCs w:val="20"/>
        </w:rPr>
        <w:br/>
      </w:r>
      <w:r w:rsidRPr="00CE7F1A">
        <w:rPr>
          <w:rFonts w:ascii="Calibri" w:eastAsia="Times New Roman" w:hAnsi="Calibri" w:cs="Calibri"/>
          <w:i/>
          <w:iCs/>
          <w:color w:val="000000"/>
          <w:sz w:val="28"/>
          <w:szCs w:val="28"/>
          <w:u w:val="single"/>
          <w:shd w:val="clear" w:color="auto" w:fill="FFFFFF"/>
        </w:rPr>
        <w:t>Bradycardia:</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Adult:</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.5 mg IV/IO, may repeat in 5 minutes MAX 3 mg or if heart rate &gt;60 and SBP&gt;90</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 Pediatric:</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 0.02 mg/kg, may repeat x1 in 5 minutes MAX total dose 1 mg, Minimum dose 0.1 mg.</w:t>
      </w:r>
      <w:r w:rsidRPr="00CE7F1A">
        <w:rPr>
          <w:rFonts w:ascii="Segoe UI" w:eastAsia="Times New Roman" w:hAnsi="Segoe UI" w:cs="Segoe UI"/>
          <w:color w:val="000000"/>
          <w:sz w:val="20"/>
          <w:szCs w:val="20"/>
        </w:rPr>
        <w:br/>
      </w:r>
      <w:r w:rsidRPr="00CE7F1A">
        <w:rPr>
          <w:rFonts w:ascii="Calibri" w:eastAsia="Times New Roman" w:hAnsi="Calibri" w:cs="Calibri"/>
          <w:b/>
          <w:bCs/>
          <w:color w:val="000000"/>
          <w:sz w:val="28"/>
          <w:szCs w:val="28"/>
          <w:u w:val="single"/>
          <w:shd w:val="clear" w:color="auto" w:fill="FFFFFF"/>
        </w:rPr>
        <w:t>For Critical Care Services ONLY.</w:t>
      </w:r>
      <w:r w:rsidRPr="00CE7F1A">
        <w:rPr>
          <w:rFonts w:ascii="Calibri" w:eastAsia="Times New Roman" w:hAnsi="Calibri" w:cs="Calibri"/>
          <w:color w:val="000000"/>
          <w:sz w:val="28"/>
          <w:szCs w:val="28"/>
          <w:shd w:val="clear" w:color="auto" w:fill="FFFFFF"/>
        </w:rPr>
        <w:t xml:space="preserve">   Atropine may be used at a higher rate (for bradycardia) if approved </w:t>
      </w:r>
      <w:proofErr w:type="gramStart"/>
      <w:r w:rsidRPr="00CE7F1A">
        <w:rPr>
          <w:rFonts w:ascii="Calibri" w:eastAsia="Times New Roman" w:hAnsi="Calibri" w:cs="Calibri"/>
          <w:color w:val="000000"/>
          <w:sz w:val="28"/>
          <w:szCs w:val="28"/>
          <w:shd w:val="clear" w:color="auto" w:fill="FFFFFF"/>
        </w:rPr>
        <w:t>by  the</w:t>
      </w:r>
      <w:proofErr w:type="gramEnd"/>
      <w:r w:rsidRPr="00CE7F1A">
        <w:rPr>
          <w:rFonts w:ascii="Calibri" w:eastAsia="Times New Roman" w:hAnsi="Calibri" w:cs="Calibri"/>
          <w:color w:val="000000"/>
          <w:sz w:val="28"/>
          <w:szCs w:val="28"/>
          <w:shd w:val="clear" w:color="auto" w:fill="FFFFFF"/>
        </w:rPr>
        <w:t xml:space="preserve"> service medical director.</w:t>
      </w:r>
      <w:r w:rsidRPr="00CE7F1A">
        <w:rPr>
          <w:rFonts w:ascii="Segoe UI" w:eastAsia="Times New Roman" w:hAnsi="Segoe UI" w:cs="Segoe UI"/>
          <w:color w:val="000000"/>
          <w:sz w:val="20"/>
          <w:szCs w:val="20"/>
        </w:rPr>
        <w:br/>
      </w:r>
      <w:r w:rsidRPr="00CE7F1A">
        <w:rPr>
          <w:rFonts w:ascii="Calibri" w:eastAsia="Times New Roman" w:hAnsi="Calibri" w:cs="Calibri"/>
          <w:i/>
          <w:iCs/>
          <w:color w:val="000000"/>
          <w:sz w:val="28"/>
          <w:szCs w:val="28"/>
          <w:u w:val="single"/>
          <w:shd w:val="clear" w:color="auto" w:fill="FFFFFF"/>
        </w:rPr>
        <w:t>Bradycardia:</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Adult:</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1 mg IV/IO, may repeat in 5 minutes MAX 3 mg or if heart rate &gt;60 and SBP&gt;90</w:t>
      </w:r>
      <w:r w:rsidRPr="00CE7F1A">
        <w:rPr>
          <w:rFonts w:ascii="Segoe UI" w:eastAsia="Times New Roman" w:hAnsi="Segoe UI" w:cs="Segoe UI"/>
          <w:color w:val="000000"/>
          <w:sz w:val="20"/>
          <w:szCs w:val="20"/>
        </w:rPr>
        <w:br/>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I apologize for any confusion or misunderstanding that currently exists and hope this helps to further clarify the issue.</w:t>
      </w:r>
      <w:r w:rsidRPr="00CE7F1A">
        <w:rPr>
          <w:rFonts w:ascii="Segoe UI" w:eastAsia="Times New Roman" w:hAnsi="Segoe UI" w:cs="Segoe UI"/>
          <w:color w:val="000000"/>
          <w:sz w:val="20"/>
          <w:szCs w:val="20"/>
        </w:rPr>
        <w:br/>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Mr. Jamie Gray, BS, AAS, NRP</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Deputy Director</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Alabama Department of Public Health</w:t>
      </w:r>
      <w:r w:rsidRPr="00CE7F1A">
        <w:rPr>
          <w:rFonts w:ascii="Segoe UI" w:eastAsia="Times New Roman" w:hAnsi="Segoe UI" w:cs="Segoe UI"/>
          <w:color w:val="000000"/>
          <w:sz w:val="20"/>
          <w:szCs w:val="20"/>
        </w:rPr>
        <w:br/>
      </w:r>
      <w:r w:rsidRPr="00CE7F1A">
        <w:rPr>
          <w:rFonts w:ascii="Calibri" w:eastAsia="Times New Roman" w:hAnsi="Calibri" w:cs="Calibri"/>
          <w:color w:val="000000"/>
          <w:sz w:val="28"/>
          <w:szCs w:val="28"/>
          <w:shd w:val="clear" w:color="auto" w:fill="FFFFFF"/>
        </w:rPr>
        <w:t>Office of Emergency Medical Services</w:t>
      </w:r>
      <w:r w:rsidRPr="00CE7F1A">
        <w:rPr>
          <w:rFonts w:ascii="Segoe UI" w:eastAsia="Times New Roman" w:hAnsi="Segoe UI" w:cs="Segoe UI"/>
          <w:color w:val="000000"/>
          <w:sz w:val="20"/>
          <w:szCs w:val="20"/>
        </w:rPr>
        <w:br/>
      </w:r>
    </w:p>
    <w:p w:rsidR="003862C1" w:rsidRDefault="003862C1"/>
    <w:sectPr w:rsidR="00386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1A"/>
    <w:rsid w:val="003862C1"/>
    <w:rsid w:val="00CE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C7E7"/>
  <w15:chartTrackingRefBased/>
  <w15:docId w15:val="{6E8137F5-335B-4A27-8D66-CD8B32C3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CE7F1A"/>
  </w:style>
  <w:style w:type="character" w:styleId="Hyperlink">
    <w:name w:val="Hyperlink"/>
    <w:basedOn w:val="DefaultParagraphFont"/>
    <w:uiPriority w:val="99"/>
    <w:semiHidden/>
    <w:unhideWhenUsed/>
    <w:rsid w:val="00CE7F1A"/>
    <w:rPr>
      <w:color w:val="0000FF"/>
      <w:u w:val="single"/>
    </w:rPr>
  </w:style>
  <w:style w:type="paragraph" w:styleId="NormalWeb">
    <w:name w:val="Normal (Web)"/>
    <w:basedOn w:val="Normal"/>
    <w:uiPriority w:val="99"/>
    <w:semiHidden/>
    <w:unhideWhenUsed/>
    <w:rsid w:val="00CE7F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Coordinator</dc:creator>
  <cp:keywords/>
  <dc:description/>
  <cp:lastModifiedBy>System Coordinator</cp:lastModifiedBy>
  <cp:revision>1</cp:revision>
  <dcterms:created xsi:type="dcterms:W3CDTF">2020-09-16T14:01:00Z</dcterms:created>
  <dcterms:modified xsi:type="dcterms:W3CDTF">2020-09-16T14:04:00Z</dcterms:modified>
</cp:coreProperties>
</file>